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805" w:right="0" w:firstLine="0"/>
        <w:jc w:val="left"/>
        <w:rPr>
          <w:rFonts w:ascii="Times New Roman"/>
          <w:position w:val="10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27262" cy="47663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262" cy="4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34"/>
          <w:position w:val="10"/>
          <w:sz w:val="20"/>
        </w:rPr>
        <w:drawing>
          <wp:inline distT="0" distB="0" distL="0" distR="0">
            <wp:extent cx="2895486" cy="43957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486" cy="43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position w:val="10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36"/>
        <w:rPr>
          <w:rFonts w:ascii="Times New Roman"/>
        </w:rPr>
      </w:pPr>
    </w:p>
    <w:p>
      <w:pPr>
        <w:pStyle w:val="BodyText"/>
        <w:spacing w:line="312" w:lineRule="auto"/>
        <w:ind w:left="264" w:right="256"/>
      </w:pPr>
      <w:r>
        <w:rPr/>
        <w:t>The Ontario Council of School Board Unions (OCSBU) and the Ontario Council of Hospital Unions (OCHU), their executives, local leaders and memberships, pledge renewed solidarity </w:t>
      </w:r>
      <w:r>
        <w:rPr/>
        <w:t>to one another.</w:t>
      </w:r>
    </w:p>
    <w:p>
      <w:pPr>
        <w:pStyle w:val="BodyText"/>
        <w:spacing w:before="87"/>
      </w:pPr>
    </w:p>
    <w:p>
      <w:pPr>
        <w:pStyle w:val="BodyText"/>
        <w:spacing w:line="312" w:lineRule="auto"/>
        <w:ind w:left="264" w:right="256"/>
      </w:pPr>
      <w:r>
        <w:rPr/>
        <w:t>The bargaining of the educational workers in 2026 and of the hospital workers in 2025 will be very challenging under a government hostile to public services and unions, and in an </w:t>
      </w:r>
      <w:r>
        <w:rPr/>
        <w:t>uncertain economic climate. Our councils commit:</w:t>
      </w:r>
    </w:p>
    <w:p>
      <w:pPr>
        <w:pStyle w:val="BodyText"/>
        <w:spacing w:before="88"/>
      </w:pPr>
    </w:p>
    <w:p>
      <w:pPr>
        <w:pStyle w:val="BodyText"/>
        <w:spacing w:line="312" w:lineRule="auto"/>
        <w:ind w:left="671" w:hanging="228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/>
        <w:t>To share public communications with one another, so that we can keep our </w:t>
      </w:r>
      <w:r>
        <w:rPr/>
        <w:t>memberships informed and involved in mutual support</w:t>
      </w:r>
    </w:p>
    <w:p>
      <w:pPr>
        <w:pStyle w:val="BodyText"/>
        <w:spacing w:line="312" w:lineRule="auto" w:before="3"/>
        <w:ind w:left="671" w:hanging="228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To dedicate resources to encourage and organize our respective memberships to attend </w:t>
      </w:r>
      <w:r>
        <w:rPr/>
        <w:t>in </w:t>
      </w:r>
      <w:r>
        <w:rPr>
          <w:w w:val="105"/>
        </w:rPr>
        <w:t>numbers,</w:t>
      </w:r>
      <w:r>
        <w:rPr>
          <w:spacing w:val="-12"/>
          <w:w w:val="105"/>
        </w:rPr>
        <w:t> </w:t>
      </w:r>
      <w:r>
        <w:rPr>
          <w:w w:val="105"/>
        </w:rPr>
        <w:t>any</w:t>
      </w:r>
      <w:r>
        <w:rPr>
          <w:spacing w:val="-12"/>
          <w:w w:val="105"/>
        </w:rPr>
        <w:t> </w:t>
      </w:r>
      <w:r>
        <w:rPr>
          <w:w w:val="105"/>
        </w:rPr>
        <w:t>rallies,</w:t>
      </w:r>
      <w:r>
        <w:rPr>
          <w:spacing w:val="-12"/>
          <w:w w:val="105"/>
        </w:rPr>
        <w:t> </w:t>
      </w:r>
      <w:r>
        <w:rPr>
          <w:w w:val="105"/>
        </w:rPr>
        <w:t>demonstrations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picket</w:t>
      </w:r>
      <w:r>
        <w:rPr>
          <w:spacing w:val="-12"/>
          <w:w w:val="105"/>
        </w:rPr>
        <w:t> </w:t>
      </w:r>
      <w:r>
        <w:rPr>
          <w:w w:val="105"/>
        </w:rPr>
        <w:t>lines</w:t>
      </w:r>
      <w:r>
        <w:rPr>
          <w:spacing w:val="-12"/>
          <w:w w:val="105"/>
        </w:rPr>
        <w:t> </w:t>
      </w:r>
      <w:r>
        <w:rPr>
          <w:w w:val="105"/>
        </w:rPr>
        <w:t>related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collective</w:t>
      </w:r>
      <w:r>
        <w:rPr>
          <w:spacing w:val="-12"/>
          <w:w w:val="105"/>
        </w:rPr>
        <w:t> </w:t>
      </w:r>
      <w:r>
        <w:rPr>
          <w:w w:val="105"/>
        </w:rPr>
        <w:t>bargaining</w:t>
      </w:r>
    </w:p>
    <w:p>
      <w:pPr>
        <w:pStyle w:val="BodyText"/>
        <w:spacing w:line="312" w:lineRule="auto" w:before="2"/>
        <w:ind w:left="671" w:right="454" w:hanging="228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56"/>
          <w:w w:val="105"/>
          <w:sz w:val="20"/>
        </w:rPr>
        <w:t> </w:t>
      </w:r>
      <w:r>
        <w:rPr>
          <w:w w:val="105"/>
        </w:rPr>
        <w:t>To</w:t>
      </w:r>
      <w:r>
        <w:rPr>
          <w:spacing w:val="-18"/>
          <w:w w:val="105"/>
        </w:rPr>
        <w:t> </w:t>
      </w:r>
      <w:r>
        <w:rPr>
          <w:w w:val="105"/>
        </w:rPr>
        <w:t>provide</w:t>
      </w:r>
      <w:r>
        <w:rPr>
          <w:spacing w:val="-17"/>
          <w:w w:val="105"/>
        </w:rPr>
        <w:t> </w:t>
      </w:r>
      <w:r>
        <w:rPr>
          <w:w w:val="105"/>
        </w:rPr>
        <w:t>such</w:t>
      </w:r>
      <w:r>
        <w:rPr>
          <w:spacing w:val="-18"/>
          <w:w w:val="105"/>
        </w:rPr>
        <w:t> </w:t>
      </w:r>
      <w:r>
        <w:rPr>
          <w:w w:val="105"/>
        </w:rPr>
        <w:t>concrete</w:t>
      </w:r>
      <w:r>
        <w:rPr>
          <w:spacing w:val="-17"/>
          <w:w w:val="105"/>
        </w:rPr>
        <w:t> </w:t>
      </w:r>
      <w:r>
        <w:rPr>
          <w:w w:val="105"/>
        </w:rPr>
        <w:t>support,</w:t>
      </w:r>
      <w:r>
        <w:rPr>
          <w:spacing w:val="-18"/>
          <w:w w:val="105"/>
        </w:rPr>
        <w:t> </w:t>
      </w:r>
      <w:r>
        <w:rPr>
          <w:w w:val="105"/>
        </w:rPr>
        <w:t>financial</w:t>
      </w:r>
      <w:r>
        <w:rPr>
          <w:spacing w:val="-17"/>
          <w:w w:val="105"/>
        </w:rPr>
        <w:t> </w:t>
      </w:r>
      <w:r>
        <w:rPr>
          <w:w w:val="105"/>
        </w:rPr>
        <w:t>or</w:t>
      </w:r>
      <w:r>
        <w:rPr>
          <w:spacing w:val="-18"/>
          <w:w w:val="105"/>
        </w:rPr>
        <w:t> </w:t>
      </w:r>
      <w:r>
        <w:rPr>
          <w:w w:val="105"/>
        </w:rPr>
        <w:t>in-kind,</w:t>
      </w:r>
      <w:r>
        <w:rPr>
          <w:spacing w:val="-17"/>
          <w:w w:val="105"/>
        </w:rPr>
        <w:t> </w:t>
      </w:r>
      <w:r>
        <w:rPr>
          <w:w w:val="105"/>
        </w:rPr>
        <w:t>which</w:t>
      </w:r>
      <w:r>
        <w:rPr>
          <w:spacing w:val="-18"/>
          <w:w w:val="105"/>
        </w:rPr>
        <w:t> </w:t>
      </w:r>
      <w:r>
        <w:rPr>
          <w:w w:val="105"/>
        </w:rPr>
        <w:t>we</w:t>
      </w:r>
      <w:r>
        <w:rPr>
          <w:spacing w:val="-17"/>
          <w:w w:val="105"/>
        </w:rPr>
        <w:t> </w:t>
      </w:r>
      <w:r>
        <w:rPr>
          <w:w w:val="105"/>
        </w:rPr>
        <w:t>can</w:t>
      </w:r>
      <w:r>
        <w:rPr>
          <w:spacing w:val="-18"/>
          <w:w w:val="105"/>
        </w:rPr>
        <w:t> </w:t>
      </w:r>
      <w:r>
        <w:rPr>
          <w:w w:val="105"/>
        </w:rPr>
        <w:t>allocate</w:t>
      </w:r>
      <w:r>
        <w:rPr>
          <w:spacing w:val="-17"/>
          <w:w w:val="105"/>
        </w:rPr>
        <w:t> </w:t>
      </w:r>
      <w:r>
        <w:rPr>
          <w:w w:val="105"/>
        </w:rPr>
        <w:t>in</w:t>
      </w:r>
      <w:r>
        <w:rPr>
          <w:spacing w:val="-18"/>
          <w:w w:val="105"/>
        </w:rPr>
        <w:t> </w:t>
      </w:r>
      <w:r>
        <w:rPr>
          <w:w w:val="105"/>
        </w:rPr>
        <w:t>support</w:t>
      </w:r>
      <w:r>
        <w:rPr>
          <w:spacing w:val="-17"/>
          <w:w w:val="105"/>
        </w:rPr>
        <w:t> </w:t>
      </w:r>
      <w:r>
        <w:rPr>
          <w:w w:val="105"/>
        </w:rPr>
        <w:t>of one another in bargaining</w:t>
      </w:r>
    </w:p>
    <w:p>
      <w:pPr>
        <w:pStyle w:val="BodyText"/>
        <w:spacing w:line="312" w:lineRule="auto" w:before="3"/>
        <w:ind w:left="664" w:right="256" w:hanging="221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56"/>
          <w:w w:val="105"/>
          <w:sz w:val="20"/>
        </w:rPr>
        <w:t> </w:t>
      </w:r>
      <w:r>
        <w:rPr>
          <w:w w:val="105"/>
        </w:rPr>
        <w:t>To</w:t>
      </w:r>
      <w:r>
        <w:rPr>
          <w:spacing w:val="-18"/>
          <w:w w:val="105"/>
        </w:rPr>
        <w:t> </w:t>
      </w:r>
      <w:r>
        <w:rPr>
          <w:w w:val="105"/>
        </w:rPr>
        <w:t>stand</w:t>
      </w:r>
      <w:r>
        <w:rPr>
          <w:spacing w:val="-17"/>
          <w:w w:val="105"/>
        </w:rPr>
        <w:t> </w:t>
      </w:r>
      <w:r>
        <w:rPr>
          <w:w w:val="105"/>
        </w:rPr>
        <w:t>with</w:t>
      </w:r>
      <w:r>
        <w:rPr>
          <w:spacing w:val="-18"/>
          <w:w w:val="105"/>
        </w:rPr>
        <w:t> </w:t>
      </w:r>
      <w:r>
        <w:rPr>
          <w:w w:val="105"/>
        </w:rPr>
        <w:t>one</w:t>
      </w:r>
      <w:r>
        <w:rPr>
          <w:spacing w:val="-17"/>
          <w:w w:val="105"/>
        </w:rPr>
        <w:t> </w:t>
      </w:r>
      <w:r>
        <w:rPr>
          <w:w w:val="105"/>
        </w:rPr>
        <w:t>another</w:t>
      </w:r>
      <w:r>
        <w:rPr>
          <w:spacing w:val="-18"/>
          <w:w w:val="105"/>
        </w:rPr>
        <w:t> </w:t>
      </w:r>
      <w:r>
        <w:rPr>
          <w:w w:val="105"/>
        </w:rPr>
        <w:t>against</w:t>
      </w:r>
      <w:r>
        <w:rPr>
          <w:spacing w:val="-17"/>
          <w:w w:val="105"/>
        </w:rPr>
        <w:t> </w:t>
      </w:r>
      <w:r>
        <w:rPr>
          <w:w w:val="105"/>
        </w:rPr>
        <w:t>any</w:t>
      </w:r>
      <w:r>
        <w:rPr>
          <w:spacing w:val="-18"/>
          <w:w w:val="105"/>
        </w:rPr>
        <w:t> </w:t>
      </w:r>
      <w:r>
        <w:rPr>
          <w:w w:val="105"/>
        </w:rPr>
        <w:t>legislation</w:t>
      </w:r>
      <w:r>
        <w:rPr>
          <w:spacing w:val="-17"/>
          <w:w w:val="105"/>
        </w:rPr>
        <w:t> </w:t>
      </w:r>
      <w:r>
        <w:rPr>
          <w:w w:val="105"/>
        </w:rPr>
        <w:t>that</w:t>
      </w:r>
      <w:r>
        <w:rPr>
          <w:spacing w:val="-18"/>
          <w:w w:val="105"/>
        </w:rPr>
        <w:t> </w:t>
      </w:r>
      <w:r>
        <w:rPr>
          <w:w w:val="105"/>
        </w:rPr>
        <w:t>threatens</w:t>
      </w:r>
      <w:r>
        <w:rPr>
          <w:spacing w:val="-17"/>
          <w:w w:val="105"/>
        </w:rPr>
        <w:t> </w:t>
      </w:r>
      <w:r>
        <w:rPr>
          <w:w w:val="105"/>
        </w:rPr>
        <w:t>to</w:t>
      </w:r>
      <w:r>
        <w:rPr>
          <w:spacing w:val="-18"/>
          <w:w w:val="105"/>
        </w:rPr>
        <w:t> </w:t>
      </w:r>
      <w:r>
        <w:rPr>
          <w:w w:val="105"/>
        </w:rPr>
        <w:t>undermine</w:t>
      </w:r>
      <w:r>
        <w:rPr>
          <w:spacing w:val="-17"/>
          <w:w w:val="105"/>
        </w:rPr>
        <w:t> </w:t>
      </w:r>
      <w:r>
        <w:rPr>
          <w:w w:val="105"/>
        </w:rPr>
        <w:t>our bargaining rights</w:t>
      </w:r>
    </w:p>
    <w:p>
      <w:pPr>
        <w:pStyle w:val="BodyText"/>
        <w:spacing w:before="86"/>
      </w:pPr>
    </w:p>
    <w:p>
      <w:pPr>
        <w:pStyle w:val="BodyText"/>
        <w:spacing w:line="312" w:lineRule="auto"/>
        <w:ind w:left="264" w:right="256"/>
      </w:pPr>
      <w:r>
        <w:rPr/>
        <w:t>To accomplish this, the councils commit to regular meetings of their senior leadership and to </w:t>
      </w:r>
      <w:r>
        <w:rPr/>
        <w:t>a </w:t>
      </w:r>
      <w:r>
        <w:rPr>
          <w:w w:val="105"/>
        </w:rPr>
        <w:t>joint</w:t>
      </w:r>
      <w:r>
        <w:rPr>
          <w:spacing w:val="-7"/>
          <w:w w:val="105"/>
        </w:rPr>
        <w:t> </w:t>
      </w:r>
      <w:r>
        <w:rPr>
          <w:w w:val="105"/>
        </w:rPr>
        <w:t>session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their</w:t>
      </w:r>
      <w:r>
        <w:rPr>
          <w:spacing w:val="-8"/>
          <w:w w:val="105"/>
        </w:rPr>
        <w:t> </w:t>
      </w:r>
      <w:r>
        <w:rPr>
          <w:w w:val="105"/>
        </w:rPr>
        <w:t>executives</w:t>
      </w:r>
      <w:r>
        <w:rPr>
          <w:spacing w:val="-7"/>
          <w:w w:val="105"/>
        </w:rPr>
        <w:t> </w:t>
      </w:r>
      <w:r>
        <w:rPr>
          <w:w w:val="105"/>
        </w:rPr>
        <w:t>at</w:t>
      </w:r>
      <w:r>
        <w:rPr>
          <w:spacing w:val="-8"/>
          <w:w w:val="105"/>
        </w:rPr>
        <w:t> </w:t>
      </w:r>
      <w:r>
        <w:rPr>
          <w:w w:val="105"/>
        </w:rPr>
        <w:t>which</w:t>
      </w:r>
      <w:r>
        <w:rPr>
          <w:spacing w:val="-7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agreement</w:t>
      </w:r>
      <w:r>
        <w:rPr>
          <w:spacing w:val="-7"/>
          <w:w w:val="105"/>
        </w:rPr>
        <w:t> </w:t>
      </w:r>
      <w:r>
        <w:rPr>
          <w:w w:val="105"/>
        </w:rPr>
        <w:t>will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implemented.</w:t>
      </w:r>
    </w:p>
    <w:p>
      <w:pPr>
        <w:pStyle w:val="BodyText"/>
        <w:spacing w:before="86"/>
      </w:pPr>
    </w:p>
    <w:p>
      <w:pPr>
        <w:pStyle w:val="BodyText"/>
        <w:spacing w:before="1"/>
        <w:ind w:left="264"/>
      </w:pPr>
      <w:r>
        <w:rPr/>
        <w:t>In</w:t>
      </w:r>
      <w:r>
        <w:rPr>
          <w:spacing w:val="-8"/>
        </w:rPr>
        <w:t> </w:t>
      </w:r>
      <w:r>
        <w:rPr>
          <w:spacing w:val="-2"/>
        </w:rPr>
        <w:t>solidarity,</w:t>
      </w:r>
    </w:p>
    <w:p>
      <w:pPr>
        <w:pStyle w:val="BodyText"/>
        <w:spacing w:before="167"/>
      </w:pPr>
    </w:p>
    <w:p>
      <w:pPr>
        <w:pStyle w:val="BodyText"/>
        <w:tabs>
          <w:tab w:pos="5484" w:val="left" w:leader="none"/>
        </w:tabs>
        <w:spacing w:before="1"/>
        <w:ind w:left="264"/>
      </w:pPr>
      <w:r>
        <w:rPr/>
        <w:t>Michael</w:t>
      </w:r>
      <w:r>
        <w:rPr>
          <w:spacing w:val="3"/>
        </w:rPr>
        <w:t> </w:t>
      </w:r>
      <w:r>
        <w:rPr/>
        <w:t>Hurley,</w:t>
      </w:r>
      <w:r>
        <w:rPr>
          <w:spacing w:val="3"/>
        </w:rPr>
        <w:t> </w:t>
      </w:r>
      <w:r>
        <w:rPr>
          <w:spacing w:val="-2"/>
        </w:rPr>
        <w:t>President,</w:t>
      </w:r>
      <w:r>
        <w:rPr/>
        <w:tab/>
        <w:t>Joe Tigani,</w:t>
      </w:r>
      <w:r>
        <w:rPr>
          <w:spacing w:val="1"/>
        </w:rPr>
        <w:t> </w:t>
      </w:r>
      <w:r>
        <w:rPr>
          <w:spacing w:val="-2"/>
        </w:rPr>
        <w:t>President,</w:t>
      </w:r>
    </w:p>
    <w:p>
      <w:pPr>
        <w:pStyle w:val="BodyText"/>
        <w:tabs>
          <w:tab w:pos="5449" w:val="left" w:leader="none"/>
        </w:tabs>
        <w:spacing w:before="84"/>
        <w:ind w:left="264"/>
      </w:pPr>
      <w:r>
        <w:rPr/>
        <w:t>Ontario</w:t>
      </w:r>
      <w:r>
        <w:rPr>
          <w:spacing w:val="14"/>
        </w:rPr>
        <w:t> </w:t>
      </w:r>
      <w:r>
        <w:rPr/>
        <w:t>Council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Hospital</w:t>
      </w:r>
      <w:r>
        <w:rPr>
          <w:spacing w:val="14"/>
        </w:rPr>
        <w:t> </w:t>
      </w:r>
      <w:r>
        <w:rPr/>
        <w:t>Unions-</w:t>
      </w:r>
      <w:r>
        <w:rPr>
          <w:spacing w:val="-4"/>
        </w:rPr>
        <w:t>CUPE</w:t>
      </w:r>
      <w:r>
        <w:rPr/>
        <w:tab/>
        <w:t>Ontario</w:t>
      </w:r>
      <w:r>
        <w:rPr>
          <w:spacing w:val="1"/>
        </w:rPr>
        <w:t> </w:t>
      </w:r>
      <w:r>
        <w:rPr/>
        <w:t>School</w:t>
      </w:r>
      <w:r>
        <w:rPr>
          <w:spacing w:val="1"/>
        </w:rPr>
        <w:t> </w:t>
      </w:r>
      <w:r>
        <w:rPr/>
        <w:t>Boards</w:t>
      </w:r>
      <w:r>
        <w:rPr>
          <w:spacing w:val="2"/>
        </w:rPr>
        <w:t> </w:t>
      </w:r>
      <w:r>
        <w:rPr/>
        <w:t>Bargaining</w:t>
      </w:r>
      <w:r>
        <w:rPr>
          <w:spacing w:val="1"/>
        </w:rPr>
        <w:t> </w:t>
      </w:r>
      <w:r>
        <w:rPr>
          <w:spacing w:val="-2"/>
        </w:rPr>
        <w:t>Council</w:t>
      </w:r>
    </w:p>
    <w:sectPr>
      <w:type w:val="continuous"/>
      <w:pgSz w:w="12240" w:h="15840"/>
      <w:pgMar w:top="14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Mackenzie Currier</dc:creator>
  <cp:keywords>DAGxXY4F3NE,BAE2jjaW_Mk,0</cp:keywords>
  <dc:title>OCHU / OSBCU</dc:title>
  <dcterms:created xsi:type="dcterms:W3CDTF">2025-09-05T14:14:26Z</dcterms:created>
  <dcterms:modified xsi:type="dcterms:W3CDTF">2025-09-05T14:14:26Z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Canva</vt:lpwstr>
  </property>
  <property fmtid="{D5CDD505-2E9C-101B-9397-08002B2CF9AE}" pid="4" name="LastSaved">
    <vt:filetime>2025-09-05T00:00:00Z</vt:filetime>
  </property>
  <property fmtid="{D5CDD505-2E9C-101B-9397-08002B2CF9AE}" pid="5" name="Producer">
    <vt:lpwstr>Canva</vt:lpwstr>
  </property>
</Properties>
</file>